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36" w:rsidRDefault="00EB4B36" w:rsidP="00EB4B36">
      <w:pPr>
        <w:jc w:val="right"/>
        <w:rPr>
          <w:b/>
          <w:color w:val="4A442A" w:themeColor="background2" w:themeShade="40"/>
          <w:sz w:val="24"/>
          <w:szCs w:val="24"/>
        </w:rPr>
      </w:pPr>
      <w:r>
        <w:rPr>
          <w:b/>
          <w:color w:val="4A442A" w:themeColor="background2" w:themeShade="40"/>
          <w:sz w:val="24"/>
          <w:szCs w:val="24"/>
        </w:rPr>
        <w:t>Zarządzenie Nr 17/2011</w:t>
      </w:r>
    </w:p>
    <w:p w:rsidR="00EB4B36" w:rsidRDefault="00EB4B36" w:rsidP="00EB4B36">
      <w:pPr>
        <w:jc w:val="center"/>
        <w:rPr>
          <w:b/>
          <w:color w:val="4A442A" w:themeColor="background2" w:themeShade="40"/>
          <w:sz w:val="24"/>
          <w:szCs w:val="24"/>
        </w:rPr>
      </w:pPr>
    </w:p>
    <w:p w:rsidR="00EB4B36" w:rsidRDefault="00EB4B36" w:rsidP="00EB4B36">
      <w:pPr>
        <w:jc w:val="center"/>
        <w:rPr>
          <w:b/>
          <w:color w:val="4A442A" w:themeColor="background2" w:themeShade="40"/>
          <w:sz w:val="24"/>
          <w:szCs w:val="24"/>
        </w:rPr>
      </w:pPr>
    </w:p>
    <w:p w:rsidR="00EB4B36" w:rsidRDefault="00EB4B36" w:rsidP="00EB4B36">
      <w:pPr>
        <w:jc w:val="center"/>
        <w:rPr>
          <w:b/>
          <w:color w:val="4A442A" w:themeColor="background2" w:themeShade="40"/>
          <w:sz w:val="24"/>
          <w:szCs w:val="24"/>
        </w:rPr>
      </w:pPr>
      <w:r>
        <w:rPr>
          <w:b/>
          <w:color w:val="4A442A" w:themeColor="background2" w:themeShade="40"/>
          <w:sz w:val="24"/>
          <w:szCs w:val="24"/>
        </w:rPr>
        <w:t>Zarządzenie Dyrektora Szkoły Podstawowej Nr 145 w Łodzi z dnia 30.12.2011r.</w:t>
      </w:r>
    </w:p>
    <w:p w:rsidR="00EB4B36" w:rsidRDefault="00EB4B36" w:rsidP="00EB4B36">
      <w:pPr>
        <w:jc w:val="center"/>
        <w:rPr>
          <w:b/>
          <w:color w:val="4A442A" w:themeColor="background2" w:themeShade="40"/>
          <w:sz w:val="24"/>
          <w:szCs w:val="24"/>
        </w:rPr>
      </w:pPr>
      <w:r>
        <w:rPr>
          <w:b/>
          <w:color w:val="4A442A" w:themeColor="background2" w:themeShade="40"/>
          <w:sz w:val="24"/>
          <w:szCs w:val="24"/>
        </w:rPr>
        <w:t>$1</w:t>
      </w:r>
    </w:p>
    <w:p w:rsidR="00EB4B36" w:rsidRDefault="00EB4B36" w:rsidP="00EB4B36">
      <w:pPr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>Z dniem 31.12.2011r.tracą swą moc wprowadzone zarządzeniem nr 6/2009 z dnia 31.12.2009r. „Zasada (polityka) rachunkowości”.</w:t>
      </w:r>
    </w:p>
    <w:p w:rsidR="00EB4B36" w:rsidRDefault="00EB4B36" w:rsidP="00EB4B36">
      <w:pPr>
        <w:jc w:val="center"/>
        <w:rPr>
          <w:b/>
          <w:color w:val="4A442A" w:themeColor="background2" w:themeShade="40"/>
          <w:sz w:val="24"/>
          <w:szCs w:val="24"/>
        </w:rPr>
      </w:pPr>
      <w:r>
        <w:rPr>
          <w:b/>
          <w:color w:val="4A442A" w:themeColor="background2" w:themeShade="40"/>
          <w:sz w:val="24"/>
          <w:szCs w:val="24"/>
        </w:rPr>
        <w:t>$2</w:t>
      </w:r>
    </w:p>
    <w:p w:rsidR="00EB4B36" w:rsidRDefault="00EB4B36" w:rsidP="00EB4B36">
      <w:pPr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 xml:space="preserve">Z dniem 01.01.2012r. zarządzam wprowadzenie w życie </w:t>
      </w:r>
      <w:r>
        <w:rPr>
          <w:b/>
          <w:color w:val="4A442A" w:themeColor="background2" w:themeShade="40"/>
          <w:sz w:val="24"/>
          <w:szCs w:val="24"/>
        </w:rPr>
        <w:t xml:space="preserve">nowa Polityka Rachunkowości </w:t>
      </w:r>
      <w:r>
        <w:rPr>
          <w:color w:val="4A442A" w:themeColor="background2" w:themeShade="40"/>
          <w:sz w:val="24"/>
          <w:szCs w:val="24"/>
        </w:rPr>
        <w:t>obowiązująca od nowego roku obrotowego, na którą składają się:</w:t>
      </w:r>
    </w:p>
    <w:p w:rsidR="00EB4B36" w:rsidRDefault="00EB4B36" w:rsidP="00EB4B36">
      <w:pPr>
        <w:pStyle w:val="Akapitzlist"/>
        <w:numPr>
          <w:ilvl w:val="0"/>
          <w:numId w:val="1"/>
        </w:numPr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>Ogólne zasady prowadzenia ksiąg rachunkowych (zał.1).</w:t>
      </w:r>
    </w:p>
    <w:p w:rsidR="00EB4B36" w:rsidRDefault="00EB4B36" w:rsidP="00EB4B36">
      <w:pPr>
        <w:pStyle w:val="Akapitzlist"/>
        <w:numPr>
          <w:ilvl w:val="0"/>
          <w:numId w:val="1"/>
        </w:numPr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>Metody wyceny aktywów i pasywów oraz ustalenia wyniku finansowego (zał. 2).</w:t>
      </w:r>
    </w:p>
    <w:p w:rsidR="00EB4B36" w:rsidRDefault="00EB4B36" w:rsidP="00EB4B36">
      <w:pPr>
        <w:pStyle w:val="Akapitzlist"/>
        <w:numPr>
          <w:ilvl w:val="0"/>
          <w:numId w:val="1"/>
        </w:numPr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>Sposób prowadzenia ksiąg rachunkowych(zał. 3), w Tm:</w:t>
      </w:r>
    </w:p>
    <w:p w:rsidR="00EB4B36" w:rsidRDefault="00EB4B36" w:rsidP="00EB4B36">
      <w:pPr>
        <w:pStyle w:val="Akapitzlist"/>
        <w:numPr>
          <w:ilvl w:val="0"/>
          <w:numId w:val="2"/>
        </w:numPr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>zakładowego wykazu kont i wykazu kont ksiąg pomocniczych (zał. 3a),</w:t>
      </w:r>
    </w:p>
    <w:p w:rsidR="00EB4B36" w:rsidRDefault="00EB4B36" w:rsidP="00EB4B36">
      <w:pPr>
        <w:pStyle w:val="Akapitzlist"/>
        <w:numPr>
          <w:ilvl w:val="0"/>
          <w:numId w:val="2"/>
        </w:numPr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>wykazu zbiorów danych tworzących księgi rachunkowe na komputerowych nośnikach danych (zał. 3b),</w:t>
      </w:r>
    </w:p>
    <w:p w:rsidR="00EB4B36" w:rsidRDefault="00EB4B36" w:rsidP="00EB4B36">
      <w:pPr>
        <w:pStyle w:val="Akapitzlist"/>
        <w:numPr>
          <w:ilvl w:val="0"/>
          <w:numId w:val="2"/>
        </w:numPr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>opisu systemu przetwarzania danych- systemu informatycznego (zał. 3c),</w:t>
      </w:r>
    </w:p>
    <w:p w:rsidR="00EB4B36" w:rsidRDefault="00EB4B36" w:rsidP="00EB4B36">
      <w:pPr>
        <w:rPr>
          <w:color w:val="4A442A" w:themeColor="background2" w:themeShade="40"/>
          <w:sz w:val="24"/>
          <w:szCs w:val="24"/>
        </w:rPr>
      </w:pPr>
    </w:p>
    <w:p w:rsidR="00EB4B36" w:rsidRDefault="00EB4B36" w:rsidP="00EB4B36">
      <w:pPr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>4.System służący ochronie danych, w tym: dowodów księgowych, ksiąg rachunkowych i innych dokumentów stanowiących podstawę dokonanych w nich zapisów (zał.4).</w:t>
      </w:r>
    </w:p>
    <w:p w:rsidR="00EB4B36" w:rsidRDefault="00EB4B36" w:rsidP="00EB4B36">
      <w:pPr>
        <w:rPr>
          <w:color w:val="4A442A" w:themeColor="background2" w:themeShade="40"/>
          <w:sz w:val="24"/>
          <w:szCs w:val="24"/>
        </w:rPr>
      </w:pPr>
    </w:p>
    <w:p w:rsidR="00EB4B36" w:rsidRDefault="00EB4B36" w:rsidP="00EB4B36">
      <w:pPr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 xml:space="preserve">          Zarządzenie wchodzi w życie z dniem 01.01. 2012r.</w:t>
      </w:r>
    </w:p>
    <w:p w:rsidR="00EB4B36" w:rsidRDefault="00EB4B36" w:rsidP="00EB4B36">
      <w:pPr>
        <w:rPr>
          <w:color w:val="4A442A" w:themeColor="background2" w:themeShade="40"/>
          <w:sz w:val="24"/>
          <w:szCs w:val="24"/>
        </w:rPr>
      </w:pPr>
    </w:p>
    <w:p w:rsidR="00EB4B36" w:rsidRDefault="00EB4B36" w:rsidP="00EB4B36">
      <w:pPr>
        <w:rPr>
          <w:color w:val="4A442A" w:themeColor="background2" w:themeShade="40"/>
          <w:sz w:val="24"/>
          <w:szCs w:val="24"/>
        </w:rPr>
      </w:pPr>
    </w:p>
    <w:p w:rsidR="00EB4B36" w:rsidRDefault="00EB4B36" w:rsidP="00EB4B36">
      <w:pPr>
        <w:rPr>
          <w:color w:val="4A442A" w:themeColor="background2" w:themeShade="40"/>
          <w:sz w:val="24"/>
          <w:szCs w:val="24"/>
        </w:rPr>
      </w:pPr>
    </w:p>
    <w:p w:rsidR="00EB4B36" w:rsidRDefault="00EB4B36" w:rsidP="00EB4B36">
      <w:pPr>
        <w:rPr>
          <w:color w:val="4A442A" w:themeColor="background2" w:themeShade="40"/>
          <w:sz w:val="24"/>
          <w:szCs w:val="24"/>
        </w:rPr>
      </w:pPr>
    </w:p>
    <w:p w:rsidR="00EB4B36" w:rsidRDefault="00EB4B36" w:rsidP="00EB4B36">
      <w:pPr>
        <w:rPr>
          <w:color w:val="4A442A" w:themeColor="background2" w:themeShade="40"/>
          <w:sz w:val="24"/>
          <w:szCs w:val="24"/>
        </w:rPr>
      </w:pPr>
    </w:p>
    <w:p w:rsidR="00EB4B36" w:rsidRDefault="00EB4B36" w:rsidP="00EB4B36">
      <w:pPr>
        <w:rPr>
          <w:color w:val="4A442A" w:themeColor="background2" w:themeShade="40"/>
          <w:sz w:val="24"/>
          <w:szCs w:val="24"/>
        </w:rPr>
      </w:pPr>
    </w:p>
    <w:p w:rsidR="00EB4B36" w:rsidRDefault="00EB4B36" w:rsidP="00EB4B36">
      <w:pPr>
        <w:rPr>
          <w:color w:val="4A442A" w:themeColor="background2" w:themeShade="40"/>
          <w:sz w:val="24"/>
          <w:szCs w:val="24"/>
        </w:rPr>
      </w:pPr>
    </w:p>
    <w:p w:rsidR="00EB4B36" w:rsidRDefault="00EB4B36" w:rsidP="00EB4B36">
      <w:pPr>
        <w:shd w:val="clear" w:color="auto" w:fill="FFFFFF"/>
        <w:spacing w:line="322" w:lineRule="exact"/>
        <w:ind w:right="566"/>
        <w:jc w:val="center"/>
        <w:rPr>
          <w:bCs/>
          <w:color w:val="000000"/>
          <w:spacing w:val="-2"/>
          <w:sz w:val="26"/>
          <w:szCs w:val="26"/>
        </w:rPr>
      </w:pPr>
      <w:r>
        <w:rPr>
          <w:bCs/>
          <w:i/>
          <w:iCs/>
          <w:color w:val="000000"/>
          <w:spacing w:val="-3"/>
          <w:sz w:val="26"/>
          <w:szCs w:val="26"/>
        </w:rPr>
        <w:lastRenderedPageBreak/>
        <w:t>Zarządzenie Nr   25 / 2012</w:t>
      </w:r>
    </w:p>
    <w:p w:rsidR="00EB4B36" w:rsidRDefault="00EB4B36" w:rsidP="00EB4B36">
      <w:pPr>
        <w:shd w:val="clear" w:color="auto" w:fill="FFFFFF"/>
        <w:spacing w:line="322" w:lineRule="exact"/>
        <w:ind w:right="562"/>
        <w:jc w:val="center"/>
        <w:rPr>
          <w:bCs/>
          <w:i/>
          <w:iCs/>
          <w:color w:val="000000"/>
          <w:spacing w:val="-2"/>
          <w:sz w:val="26"/>
          <w:szCs w:val="26"/>
        </w:rPr>
      </w:pPr>
      <w:r>
        <w:rPr>
          <w:bCs/>
          <w:i/>
          <w:iCs/>
          <w:color w:val="000000"/>
          <w:spacing w:val="-2"/>
          <w:sz w:val="26"/>
          <w:szCs w:val="26"/>
        </w:rPr>
        <w:t>Dyrektora Szkoły Podstawowej nr 145 w Łodzi</w:t>
      </w:r>
    </w:p>
    <w:p w:rsidR="00EB4B36" w:rsidRDefault="00EB4B36" w:rsidP="00EB4B36">
      <w:pPr>
        <w:shd w:val="clear" w:color="auto" w:fill="FFFFFF"/>
        <w:spacing w:line="322" w:lineRule="exact"/>
        <w:ind w:right="576"/>
        <w:jc w:val="center"/>
        <w:rPr>
          <w:bCs/>
          <w:i/>
          <w:iCs/>
          <w:color w:val="000000"/>
          <w:spacing w:val="-2"/>
          <w:sz w:val="26"/>
          <w:szCs w:val="26"/>
        </w:rPr>
      </w:pPr>
      <w:r>
        <w:rPr>
          <w:bCs/>
          <w:i/>
          <w:iCs/>
          <w:color w:val="000000"/>
          <w:spacing w:val="-2"/>
          <w:sz w:val="26"/>
          <w:szCs w:val="26"/>
        </w:rPr>
        <w:t>z dnia 31.10.2012r.</w:t>
      </w:r>
    </w:p>
    <w:p w:rsidR="00EB4B36" w:rsidRDefault="00EB4B36" w:rsidP="00EB4B36">
      <w:pPr>
        <w:shd w:val="clear" w:color="auto" w:fill="FFFFFF"/>
        <w:spacing w:line="322" w:lineRule="exact"/>
        <w:ind w:right="576"/>
        <w:jc w:val="center"/>
        <w:rPr>
          <w:i/>
          <w:iCs/>
          <w:sz w:val="20"/>
          <w:szCs w:val="20"/>
        </w:rPr>
      </w:pPr>
      <w:r>
        <w:rPr>
          <w:bCs/>
          <w:i/>
          <w:iCs/>
          <w:color w:val="000000"/>
          <w:spacing w:val="-2"/>
          <w:sz w:val="26"/>
          <w:szCs w:val="26"/>
        </w:rPr>
        <w:t>w sprawie aktualizacji przyjętych zasad (polityki) rachunkowości</w:t>
      </w:r>
    </w:p>
    <w:p w:rsidR="00EB4B36" w:rsidRDefault="00EB4B36" w:rsidP="00EB4B36">
      <w:pPr>
        <w:jc w:val="center"/>
        <w:rPr>
          <w:i/>
          <w:sz w:val="24"/>
          <w:szCs w:val="24"/>
        </w:rPr>
      </w:pPr>
    </w:p>
    <w:p w:rsidR="00EB4B36" w:rsidRDefault="00EB4B36" w:rsidP="00EB4B36">
      <w:pPr>
        <w:jc w:val="center"/>
        <w:rPr>
          <w:bCs/>
          <w:i/>
          <w:color w:val="000000"/>
          <w:spacing w:val="12"/>
          <w:sz w:val="24"/>
          <w:szCs w:val="24"/>
        </w:rPr>
      </w:pPr>
      <w:r>
        <w:rPr>
          <w:i/>
          <w:sz w:val="24"/>
          <w:szCs w:val="24"/>
        </w:rPr>
        <w:t>Na podst. art.10 ust.2 ustawy z dnia 29 września 1994r. o rachunkowości (</w:t>
      </w:r>
      <w:proofErr w:type="spellStart"/>
      <w:r>
        <w:rPr>
          <w:i/>
          <w:sz w:val="24"/>
          <w:szCs w:val="24"/>
        </w:rPr>
        <w:t>t.j.Dz.U</w:t>
      </w:r>
      <w:proofErr w:type="spellEnd"/>
      <w:r>
        <w:rPr>
          <w:i/>
          <w:sz w:val="24"/>
          <w:szCs w:val="24"/>
        </w:rPr>
        <w:t xml:space="preserve">. z 2009r. Nr 152, poz.1223 z </w:t>
      </w:r>
      <w:proofErr w:type="spellStart"/>
      <w:r>
        <w:rPr>
          <w:i/>
          <w:sz w:val="24"/>
          <w:szCs w:val="24"/>
        </w:rPr>
        <w:t>późn.zm</w:t>
      </w:r>
      <w:proofErr w:type="spellEnd"/>
      <w:r>
        <w:rPr>
          <w:i/>
          <w:sz w:val="24"/>
          <w:szCs w:val="24"/>
        </w:rPr>
        <w:t xml:space="preserve">.) wprowadzam do Polityki rachunkowości następujące zmiany: </w:t>
      </w:r>
    </w:p>
    <w:p w:rsidR="00EB4B36" w:rsidRDefault="00EB4B36" w:rsidP="00EB4B36">
      <w:pPr>
        <w:jc w:val="center"/>
        <w:rPr>
          <w:i/>
          <w:iCs/>
          <w:sz w:val="24"/>
          <w:szCs w:val="24"/>
        </w:rPr>
      </w:pPr>
      <w:r>
        <w:rPr>
          <w:bCs/>
          <w:i/>
          <w:iCs/>
          <w:color w:val="000000"/>
          <w:spacing w:val="12"/>
          <w:sz w:val="24"/>
          <w:szCs w:val="24"/>
        </w:rPr>
        <w:t>§1</w:t>
      </w:r>
    </w:p>
    <w:p w:rsidR="00EB4B36" w:rsidRDefault="00EB4B36" w:rsidP="00EB4B36">
      <w:pPr>
        <w:ind w:left="360"/>
        <w:rPr>
          <w:i/>
          <w:sz w:val="20"/>
          <w:szCs w:val="20"/>
        </w:rPr>
      </w:pPr>
      <w:r>
        <w:rPr>
          <w:i/>
          <w:sz w:val="24"/>
          <w:szCs w:val="24"/>
        </w:rPr>
        <w:t>Nazwy kont 072 i 080 zawarte w zakładowym planie kont i wykazie kont ksiąg pomocniczych w załączniku 3a do Polityki rachunkowości otrzymują nowe brzmienie:</w:t>
      </w:r>
    </w:p>
    <w:p w:rsidR="00EB4B36" w:rsidRDefault="00EB4B36" w:rsidP="00EB4B36">
      <w:pPr>
        <w:ind w:left="360"/>
      </w:pPr>
    </w:p>
    <w:p w:rsidR="00EB4B36" w:rsidRDefault="00EB4B36" w:rsidP="00EB4B3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Konto 072 „Umorzenie pozostałych środków trwałych oraz wartości                 </w:t>
      </w:r>
      <w:r>
        <w:rPr>
          <w:i/>
          <w:sz w:val="24"/>
          <w:szCs w:val="24"/>
        </w:rPr>
        <w:br/>
        <w:t xml:space="preserve">     niematerialnych i prawnych” otrzymuje brzmienie: </w:t>
      </w:r>
      <w:r>
        <w:rPr>
          <w:b/>
          <w:bCs/>
          <w:i/>
          <w:sz w:val="24"/>
          <w:szCs w:val="24"/>
        </w:rPr>
        <w:t xml:space="preserve">„Umorzenie pozostałych </w:t>
      </w:r>
      <w:r>
        <w:rPr>
          <w:b/>
          <w:bCs/>
          <w:i/>
          <w:sz w:val="24"/>
          <w:szCs w:val="24"/>
        </w:rPr>
        <w:br/>
        <w:t xml:space="preserve">     środków trwałych, wartości niematerialnych i prawnych oraz zbiorów </w:t>
      </w:r>
      <w:r>
        <w:rPr>
          <w:b/>
          <w:bCs/>
          <w:i/>
          <w:sz w:val="24"/>
          <w:szCs w:val="24"/>
        </w:rPr>
        <w:br/>
        <w:t xml:space="preserve">     bibliotecznych”</w:t>
      </w:r>
      <w:r>
        <w:rPr>
          <w:i/>
          <w:sz w:val="24"/>
          <w:szCs w:val="24"/>
        </w:rPr>
        <w:t>.</w:t>
      </w:r>
    </w:p>
    <w:p w:rsidR="00EB4B36" w:rsidRDefault="00EB4B36" w:rsidP="00EB4B3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Konto 080 „Inwestycje/środki trwałe w budowie/” otrzymuje brzmienie: </w:t>
      </w:r>
      <w:r>
        <w:rPr>
          <w:b/>
          <w:bCs/>
          <w:i/>
          <w:sz w:val="24"/>
          <w:szCs w:val="24"/>
        </w:rPr>
        <w:t>„Środki trwałe w budowie /inwestycje/”.</w:t>
      </w:r>
    </w:p>
    <w:p w:rsidR="00EB4B36" w:rsidRDefault="00EB4B36" w:rsidP="00EB4B36">
      <w:pPr>
        <w:ind w:left="360"/>
        <w:jc w:val="center"/>
        <w:rPr>
          <w:bCs/>
          <w:i/>
          <w:color w:val="000000"/>
          <w:spacing w:val="12"/>
          <w:sz w:val="24"/>
          <w:szCs w:val="24"/>
        </w:rPr>
      </w:pPr>
      <w:r>
        <w:rPr>
          <w:bCs/>
          <w:i/>
          <w:iCs/>
          <w:color w:val="000000"/>
          <w:spacing w:val="12"/>
          <w:sz w:val="24"/>
          <w:szCs w:val="24"/>
        </w:rPr>
        <w:t>§2</w:t>
      </w:r>
    </w:p>
    <w:p w:rsidR="00EB4B36" w:rsidRDefault="00EB4B36" w:rsidP="00EB4B36">
      <w:pPr>
        <w:ind w:left="360"/>
        <w:rPr>
          <w:bCs/>
          <w:i/>
          <w:iCs/>
          <w:color w:val="000000"/>
          <w:spacing w:val="12"/>
          <w:sz w:val="24"/>
          <w:szCs w:val="24"/>
        </w:rPr>
      </w:pPr>
      <w:r>
        <w:rPr>
          <w:bCs/>
          <w:i/>
          <w:iCs/>
          <w:color w:val="000000"/>
          <w:spacing w:val="12"/>
          <w:sz w:val="24"/>
          <w:szCs w:val="24"/>
        </w:rPr>
        <w:t>Wprowadza się nowe konta wraz z następującymi zasadami ich stosowania:</w:t>
      </w:r>
    </w:p>
    <w:p w:rsidR="00EB4B36" w:rsidRDefault="00EB4B36" w:rsidP="00EB4B36">
      <w:pPr>
        <w:ind w:left="360"/>
        <w:rPr>
          <w:b/>
          <w:bCs/>
          <w:i/>
          <w:iCs/>
          <w:color w:val="000000"/>
          <w:spacing w:val="12"/>
          <w:sz w:val="24"/>
          <w:szCs w:val="24"/>
        </w:rPr>
      </w:pPr>
      <w:r>
        <w:rPr>
          <w:bCs/>
          <w:i/>
          <w:iCs/>
          <w:color w:val="000000"/>
          <w:spacing w:val="12"/>
          <w:sz w:val="24"/>
          <w:szCs w:val="24"/>
        </w:rPr>
        <w:t>Konta bilansowe</w:t>
      </w:r>
    </w:p>
    <w:p w:rsidR="00EB4B36" w:rsidRDefault="00EB4B36" w:rsidP="00EB4B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360" w:firstLine="0"/>
        <w:rPr>
          <w:rFonts w:eastAsia="TimesPl-Bold"/>
          <w:i/>
          <w:iCs/>
          <w:color w:val="000000"/>
          <w:spacing w:val="12"/>
          <w:sz w:val="24"/>
          <w:szCs w:val="24"/>
        </w:rPr>
      </w:pPr>
      <w:r>
        <w:rPr>
          <w:b/>
          <w:bCs/>
          <w:i/>
          <w:iCs/>
          <w:color w:val="000000"/>
          <w:spacing w:val="12"/>
          <w:sz w:val="24"/>
          <w:szCs w:val="24"/>
        </w:rPr>
        <w:t>Konto 245 „Wpływy do wyjaśnienia”.</w:t>
      </w:r>
    </w:p>
    <w:p w:rsidR="00EB4B36" w:rsidRDefault="00EB4B36" w:rsidP="00EB4B36">
      <w:pPr>
        <w:ind w:left="360"/>
        <w:rPr>
          <w:rFonts w:eastAsia="TimesPl"/>
          <w:i/>
          <w:iCs/>
          <w:sz w:val="24"/>
          <w:szCs w:val="24"/>
        </w:rPr>
      </w:pPr>
      <w:r>
        <w:rPr>
          <w:rFonts w:eastAsia="TimesPl-Bold"/>
          <w:i/>
          <w:iCs/>
          <w:color w:val="000000"/>
          <w:spacing w:val="12"/>
          <w:sz w:val="24"/>
          <w:szCs w:val="24"/>
        </w:rPr>
        <w:t>Konto</w:t>
      </w:r>
      <w:r>
        <w:rPr>
          <w:i/>
          <w:iCs/>
          <w:color w:val="000000"/>
          <w:spacing w:val="12"/>
          <w:sz w:val="24"/>
          <w:szCs w:val="24"/>
        </w:rPr>
        <w:t xml:space="preserve"> 245 </w:t>
      </w:r>
      <w:r>
        <w:rPr>
          <w:rFonts w:eastAsia="TimesPl"/>
          <w:i/>
          <w:iCs/>
          <w:color w:val="000000"/>
          <w:spacing w:val="12"/>
          <w:sz w:val="24"/>
          <w:szCs w:val="24"/>
        </w:rPr>
        <w:t>służy</w:t>
      </w:r>
      <w:r>
        <w:rPr>
          <w:i/>
          <w:iCs/>
          <w:color w:val="000000"/>
          <w:spacing w:val="12"/>
          <w:sz w:val="24"/>
          <w:szCs w:val="24"/>
        </w:rPr>
        <w:t xml:space="preserve"> do ew</w:t>
      </w:r>
      <w:r>
        <w:rPr>
          <w:rFonts w:eastAsia="TimesPl"/>
          <w:bCs/>
          <w:i/>
          <w:iCs/>
          <w:color w:val="000000"/>
          <w:spacing w:val="12"/>
          <w:sz w:val="24"/>
          <w:szCs w:val="24"/>
        </w:rPr>
        <w:t>idencji</w:t>
      </w:r>
      <w:r>
        <w:rPr>
          <w:bCs/>
          <w:i/>
          <w:iCs/>
          <w:color w:val="000000"/>
          <w:spacing w:val="12"/>
          <w:sz w:val="24"/>
          <w:szCs w:val="24"/>
        </w:rPr>
        <w:t xml:space="preserve"> wpłaconych a niewyjaśnionych kwot należności</w:t>
      </w:r>
      <w:r>
        <w:rPr>
          <w:i/>
          <w:iCs/>
          <w:sz w:val="24"/>
          <w:szCs w:val="24"/>
        </w:rPr>
        <w:t xml:space="preserve"> z tytułu dochodów budżetowych.</w:t>
      </w:r>
    </w:p>
    <w:p w:rsidR="00EB4B36" w:rsidRDefault="00EB4B36" w:rsidP="00EB4B36">
      <w:pPr>
        <w:ind w:left="390"/>
        <w:rPr>
          <w:rFonts w:eastAsia="Times New Roman"/>
          <w:i/>
          <w:iCs/>
          <w:sz w:val="24"/>
          <w:szCs w:val="24"/>
        </w:rPr>
      </w:pPr>
      <w:r>
        <w:rPr>
          <w:rFonts w:eastAsia="TimesPl"/>
          <w:i/>
          <w:iCs/>
          <w:sz w:val="24"/>
          <w:szCs w:val="24"/>
        </w:rPr>
        <w:t>Na</w:t>
      </w:r>
      <w:r>
        <w:rPr>
          <w:i/>
          <w:iCs/>
          <w:sz w:val="24"/>
          <w:szCs w:val="24"/>
        </w:rPr>
        <w:t xml:space="preserve"> stronie </w:t>
      </w:r>
      <w:proofErr w:type="spellStart"/>
      <w:r>
        <w:rPr>
          <w:i/>
          <w:iCs/>
          <w:sz w:val="24"/>
          <w:szCs w:val="24"/>
        </w:rPr>
        <w:t>Wn</w:t>
      </w:r>
      <w:proofErr w:type="spellEnd"/>
      <w:r>
        <w:rPr>
          <w:b/>
          <w:bCs/>
          <w:i/>
          <w:iCs/>
          <w:sz w:val="24"/>
          <w:szCs w:val="24"/>
        </w:rPr>
        <w:t xml:space="preserve">  </w:t>
      </w:r>
      <w:r>
        <w:rPr>
          <w:rFonts w:eastAsia="TimesPl"/>
          <w:i/>
          <w:iCs/>
          <w:sz w:val="24"/>
          <w:szCs w:val="24"/>
        </w:rPr>
        <w:t>ujmuje</w:t>
      </w:r>
      <w:r>
        <w:rPr>
          <w:i/>
          <w:iCs/>
          <w:sz w:val="24"/>
          <w:szCs w:val="24"/>
        </w:rPr>
        <w:t xml:space="preserve"> się w szczególności kwoty wyjaśnionych wpłat i ich zwroty, natomiast na stronie Ma ujmuje się w szczególności kwoty niewyjaśnionych wpłat. </w:t>
      </w:r>
      <w:r>
        <w:rPr>
          <w:rFonts w:eastAsia="TimesPl-Bold"/>
          <w:i/>
          <w:iCs/>
          <w:sz w:val="24"/>
          <w:szCs w:val="24"/>
        </w:rPr>
        <w:t>Konto</w:t>
      </w:r>
      <w:r>
        <w:rPr>
          <w:i/>
          <w:iCs/>
          <w:sz w:val="24"/>
          <w:szCs w:val="24"/>
        </w:rPr>
        <w:t xml:space="preserve"> </w:t>
      </w:r>
      <w:r>
        <w:rPr>
          <w:rFonts w:eastAsia="TimesPl"/>
          <w:i/>
          <w:iCs/>
          <w:sz w:val="24"/>
          <w:szCs w:val="24"/>
        </w:rPr>
        <w:t>może</w:t>
      </w:r>
      <w:r>
        <w:rPr>
          <w:i/>
          <w:iCs/>
          <w:sz w:val="24"/>
          <w:szCs w:val="24"/>
        </w:rPr>
        <w:t xml:space="preserve"> wykazywać saldo Ma, które wykazuje stan niewyjaśnionych wpłat.</w:t>
      </w:r>
    </w:p>
    <w:p w:rsidR="00EB4B36" w:rsidRDefault="00EB4B36" w:rsidP="00EB4B36">
      <w:pPr>
        <w:ind w:left="390"/>
        <w:rPr>
          <w:b/>
          <w:bCs/>
          <w:i/>
          <w:iCs/>
          <w:color w:val="000000"/>
          <w:spacing w:val="12"/>
          <w:sz w:val="24"/>
          <w:szCs w:val="24"/>
        </w:rPr>
      </w:pPr>
      <w:r>
        <w:rPr>
          <w:rFonts w:eastAsia="TimesPl"/>
          <w:i/>
          <w:iCs/>
          <w:sz w:val="24"/>
          <w:szCs w:val="24"/>
        </w:rPr>
        <w:t>Konta</w:t>
      </w:r>
      <w:r>
        <w:rPr>
          <w:i/>
          <w:iCs/>
          <w:sz w:val="24"/>
          <w:szCs w:val="24"/>
        </w:rPr>
        <w:t xml:space="preserve"> pozabilansowe</w:t>
      </w:r>
    </w:p>
    <w:p w:rsidR="00EB4B36" w:rsidRDefault="00EB4B36" w:rsidP="00EB4B36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360" w:firstLine="0"/>
        <w:rPr>
          <w:rFonts w:eastAsia="TimesPl-Bold"/>
          <w:i/>
          <w:iCs/>
          <w:sz w:val="24"/>
          <w:szCs w:val="24"/>
        </w:rPr>
      </w:pPr>
      <w:r>
        <w:rPr>
          <w:b/>
          <w:bCs/>
          <w:i/>
          <w:iCs/>
          <w:color w:val="000000"/>
          <w:spacing w:val="12"/>
          <w:sz w:val="24"/>
          <w:szCs w:val="24"/>
        </w:rPr>
        <w:t>Konto 976 „</w:t>
      </w:r>
      <w:r>
        <w:rPr>
          <w:b/>
          <w:bCs/>
          <w:i/>
          <w:iCs/>
          <w:sz w:val="24"/>
          <w:szCs w:val="24"/>
        </w:rPr>
        <w:t>„Wzajemne rozliczenia między jednostkami”</w:t>
      </w:r>
    </w:p>
    <w:p w:rsidR="00EB4B36" w:rsidRDefault="00EB4B36" w:rsidP="00EB4B36">
      <w:pPr>
        <w:ind w:left="405"/>
        <w:rPr>
          <w:rFonts w:eastAsia="TimesPl"/>
          <w:i/>
          <w:iCs/>
          <w:sz w:val="24"/>
          <w:szCs w:val="24"/>
        </w:rPr>
      </w:pPr>
      <w:r>
        <w:rPr>
          <w:rFonts w:eastAsia="TimesPl-Bold"/>
          <w:i/>
          <w:iCs/>
          <w:sz w:val="24"/>
          <w:szCs w:val="24"/>
        </w:rPr>
        <w:t>Konto</w:t>
      </w:r>
      <w:r>
        <w:rPr>
          <w:i/>
          <w:iCs/>
          <w:sz w:val="24"/>
          <w:szCs w:val="24"/>
        </w:rPr>
        <w:t xml:space="preserve"> </w:t>
      </w:r>
      <w:r>
        <w:rPr>
          <w:rFonts w:eastAsia="TimesPl"/>
          <w:i/>
          <w:iCs/>
          <w:sz w:val="24"/>
          <w:szCs w:val="24"/>
        </w:rPr>
        <w:t>służy</w:t>
      </w:r>
      <w:r>
        <w:rPr>
          <w:i/>
          <w:iCs/>
          <w:sz w:val="24"/>
          <w:szCs w:val="24"/>
        </w:rPr>
        <w:t xml:space="preserve"> do ewidencji kwot wynikających ze wzajemnych rozliczeń</w:t>
      </w:r>
    </w:p>
    <w:p w:rsidR="00EB4B36" w:rsidRDefault="00EB4B36" w:rsidP="00EB4B36">
      <w:pPr>
        <w:ind w:left="405"/>
        <w:rPr>
          <w:rFonts w:eastAsia="Times New Roman"/>
          <w:i/>
          <w:iCs/>
          <w:sz w:val="24"/>
          <w:szCs w:val="24"/>
        </w:rPr>
      </w:pPr>
      <w:r>
        <w:rPr>
          <w:rFonts w:eastAsia="TimesPl"/>
          <w:i/>
          <w:iCs/>
          <w:sz w:val="24"/>
          <w:szCs w:val="24"/>
        </w:rPr>
        <w:t>między</w:t>
      </w:r>
      <w:r>
        <w:rPr>
          <w:i/>
          <w:iCs/>
          <w:sz w:val="24"/>
          <w:szCs w:val="24"/>
        </w:rPr>
        <w:t xml:space="preserve"> jednostkami w celu sporządzenia łącznego sprawozdania finansowego.</w:t>
      </w:r>
    </w:p>
    <w:p w:rsidR="00EB4B36" w:rsidRDefault="00EB4B36" w:rsidP="00EB4B36">
      <w:pPr>
        <w:ind w:left="360"/>
        <w:jc w:val="center"/>
        <w:rPr>
          <w:bCs/>
          <w:i/>
          <w:color w:val="000000"/>
          <w:spacing w:val="12"/>
          <w:sz w:val="24"/>
          <w:szCs w:val="24"/>
        </w:rPr>
      </w:pPr>
      <w:r>
        <w:rPr>
          <w:bCs/>
          <w:i/>
          <w:iCs/>
          <w:color w:val="000000"/>
          <w:spacing w:val="12"/>
          <w:sz w:val="24"/>
          <w:szCs w:val="24"/>
        </w:rPr>
        <w:t>§3</w:t>
      </w:r>
    </w:p>
    <w:p w:rsidR="004074D9" w:rsidRPr="00EB4B36" w:rsidRDefault="00EB4B36" w:rsidP="00EB4B36">
      <w:pPr>
        <w:ind w:left="360"/>
        <w:rPr>
          <w:i/>
          <w:iCs/>
          <w:sz w:val="24"/>
          <w:szCs w:val="24"/>
        </w:rPr>
      </w:pPr>
      <w:r>
        <w:rPr>
          <w:bCs/>
          <w:i/>
          <w:iCs/>
          <w:color w:val="000000"/>
          <w:spacing w:val="12"/>
          <w:sz w:val="24"/>
          <w:szCs w:val="24"/>
        </w:rPr>
        <w:t>Wykonanie zarządzenia powierzam Głównemu księgowemu.</w:t>
      </w:r>
    </w:p>
    <w:sectPr w:rsidR="004074D9" w:rsidRPr="00EB4B36" w:rsidSect="0040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Pl-Bold">
    <w:charset w:val="00"/>
    <w:family w:val="roman"/>
    <w:pitch w:val="default"/>
    <w:sig w:usb0="00000000" w:usb1="00000000" w:usb2="00000000" w:usb3="00000000" w:csb0="00000000" w:csb1="00000000"/>
  </w:font>
  <w:font w:name="TimesPl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414F16"/>
    <w:multiLevelType w:val="hybridMultilevel"/>
    <w:tmpl w:val="304E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637BE"/>
    <w:multiLevelType w:val="hybridMultilevel"/>
    <w:tmpl w:val="69F07414"/>
    <w:lvl w:ilvl="0" w:tplc="C2FCB6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4B36"/>
    <w:rsid w:val="004074D9"/>
    <w:rsid w:val="00EB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3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2016-06-07T11:43:00Z</dcterms:created>
  <dcterms:modified xsi:type="dcterms:W3CDTF">2016-06-07T11:44:00Z</dcterms:modified>
</cp:coreProperties>
</file>